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临床研究方案</w:t>
      </w: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提纲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1.研究题目；</w:t>
      </w:r>
      <w:bookmarkStart w:id="0" w:name="_GoBack"/>
      <w:bookmarkEnd w:id="0"/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2.研究目的；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3.立题依据；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4.预期效果；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5.研究设计；</w:t>
      </w:r>
    </w:p>
    <w:p>
      <w:pPr>
        <w:pStyle w:val="4"/>
        <w:spacing w:before="0" w:beforeAutospacing="0" w:after="0" w:afterAutospacing="0"/>
        <w:ind w:left="90" w:leftChars="43"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6.受试者纳入、排除标准和分配入组方法；</w:t>
      </w:r>
    </w:p>
    <w:p>
      <w:pPr>
        <w:pStyle w:val="4"/>
        <w:spacing w:before="0" w:beforeAutospacing="0" w:after="0" w:afterAutospacing="0"/>
        <w:ind w:left="90" w:leftChars="43"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7.所需的病例数；</w:t>
      </w:r>
    </w:p>
    <w:p>
      <w:pPr>
        <w:pStyle w:val="4"/>
        <w:spacing w:before="0" w:beforeAutospacing="0" w:after="0" w:afterAutospacing="0"/>
        <w:ind w:left="90" w:leftChars="43"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8.干细胞制剂的使用方式、剂量、时间及疗程，如需通过特殊手术导入治疗制剂，应当提供详细操作过程；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9.中止和终止临床研究的标准；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10.疗效评定标准；</w:t>
      </w:r>
    </w:p>
    <w:p>
      <w:pPr>
        <w:pStyle w:val="4"/>
        <w:spacing w:before="0" w:beforeAutospacing="0" w:after="0" w:afterAutospacing="0"/>
        <w:ind w:left="90" w:leftChars="43"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11.不良事件的记录要求和严重不良事件的报告方法、处理措施；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12.病例报告表样稿；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13.研究结果的统计分析；</w:t>
      </w:r>
    </w:p>
    <w:p>
      <w:pPr>
        <w:pStyle w:val="4"/>
        <w:spacing w:before="0" w:beforeAutospacing="0" w:after="0" w:afterAutospacing="0"/>
        <w:ind w:left="1442" w:leftChars="344" w:hangingChars="225"/>
        <w:jc w:val="left"/>
      </w:pPr>
      <w:r>
        <w:rPr>
          <w:rFonts w:hint="eastAsia" w:ascii="仿宋_GB2312" w:hAnsi="宋体" w:eastAsia="仿宋_GB2312"/>
          <w:sz w:val="32"/>
          <w:szCs w:val="32"/>
        </w:rPr>
        <w:t>14.随访的计划及实施办法。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5070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fp"/>
    <w:basedOn w:val="1"/>
    <w:uiPriority w:val="0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jxp</dc:creator>
  <cp:lastModifiedBy>jxp</cp:lastModifiedBy>
  <dcterms:modified xsi:type="dcterms:W3CDTF">2017-04-17T00:58:10Z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